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37C1" w14:textId="0C1C39C4" w:rsidR="00587240" w:rsidRDefault="00587240" w:rsidP="00587240">
      <w:pPr>
        <w:pStyle w:val="Heading1"/>
        <w:jc w:val="both"/>
      </w:pPr>
      <w:r>
        <w:t>Flow Cell Selection Guide</w:t>
      </w:r>
    </w:p>
    <w:p w14:paraId="2A2440CF" w14:textId="77777777" w:rsidR="00587240" w:rsidRDefault="00587240" w:rsidP="00587240">
      <w:pPr>
        <w:pStyle w:val="Subtitle"/>
        <w:jc w:val="both"/>
      </w:pPr>
      <w:r>
        <w:t>CRI Sequencing Core Facility.</w:t>
      </w:r>
    </w:p>
    <w:p w14:paraId="4BD712E6" w14:textId="77777777" w:rsidR="00587240" w:rsidRDefault="00587240" w:rsidP="00587240">
      <w:pPr>
        <w:jc w:val="both"/>
        <w:rPr>
          <w:rStyle w:val="SubtleEmphasis"/>
        </w:rPr>
      </w:pPr>
      <w:r w:rsidRPr="005E2024">
        <w:rPr>
          <w:rStyle w:val="SubtleEmphasis"/>
        </w:rPr>
        <w:t>Last updated: April 21, 2026</w:t>
      </w:r>
    </w:p>
    <w:p w14:paraId="7BE18705" w14:textId="46D9DB68" w:rsidR="00587240" w:rsidRPr="00587240" w:rsidRDefault="00587240" w:rsidP="00587240">
      <w:pPr>
        <w:pStyle w:val="Heading2"/>
        <w:rPr>
          <w:rStyle w:val="SubtleEmphasis"/>
          <w:i w:val="0"/>
          <w:iCs w:val="0"/>
          <w:color w:val="0F4761" w:themeColor="accent1" w:themeShade="BF"/>
          <w:sz w:val="28"/>
        </w:rPr>
      </w:pPr>
      <w:r>
        <w:rPr>
          <w:rStyle w:val="SubtleEmphasis"/>
          <w:i w:val="0"/>
          <w:iCs w:val="0"/>
          <w:color w:val="0F4761" w:themeColor="accent1" w:themeShade="BF"/>
          <w:sz w:val="28"/>
        </w:rPr>
        <w:t>Flow Cell Capacity Table</w:t>
      </w:r>
    </w:p>
    <w:tbl>
      <w:tblPr>
        <w:tblStyle w:val="TableGrid"/>
        <w:tblW w:w="5485" w:type="dxa"/>
        <w:tblLook w:val="04A0" w:firstRow="1" w:lastRow="0" w:firstColumn="1" w:lastColumn="0" w:noHBand="0" w:noVBand="1"/>
      </w:tblPr>
      <w:tblGrid>
        <w:gridCol w:w="3865"/>
        <w:gridCol w:w="1620"/>
      </w:tblGrid>
      <w:tr w:rsidR="00587240" w:rsidRPr="000A0338" w14:paraId="30D22FBA" w14:textId="77777777" w:rsidTr="00587240">
        <w:trPr>
          <w:trHeight w:val="432"/>
        </w:trPr>
        <w:tc>
          <w:tcPr>
            <w:tcW w:w="3865" w:type="dxa"/>
            <w:shd w:val="clear" w:color="auto" w:fill="000000" w:themeFill="text1"/>
            <w:vAlign w:val="center"/>
          </w:tcPr>
          <w:p w14:paraId="793F62BC" w14:textId="77777777" w:rsidR="00587240" w:rsidRPr="000A0338" w:rsidRDefault="00587240" w:rsidP="0070533D">
            <w:r w:rsidRPr="000A0338">
              <w:t>Flow cell*</w:t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14:paraId="0FBBC070" w14:textId="77777777" w:rsidR="00587240" w:rsidRPr="000A0338" w:rsidRDefault="00587240" w:rsidP="0070533D">
            <w:r w:rsidRPr="000A0338">
              <w:t>Max reads**</w:t>
            </w:r>
          </w:p>
        </w:tc>
      </w:tr>
      <w:tr w:rsidR="00587240" w:rsidRPr="000A0338" w14:paraId="642C9610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201DF799" w14:textId="4ACFE473" w:rsidR="00587240" w:rsidRPr="000A0338" w:rsidRDefault="00587240" w:rsidP="0070533D">
            <w:r>
              <w:t>NextSeq 2000 P4 – 100 Cycles</w:t>
            </w:r>
          </w:p>
        </w:tc>
        <w:tc>
          <w:tcPr>
            <w:tcW w:w="1620" w:type="dxa"/>
            <w:vAlign w:val="center"/>
          </w:tcPr>
          <w:p w14:paraId="38B072B0" w14:textId="42F9C236" w:rsidR="00587240" w:rsidRPr="000A0338" w:rsidRDefault="00587240" w:rsidP="0070533D">
            <w:r>
              <w:t>1.8B</w:t>
            </w:r>
          </w:p>
        </w:tc>
      </w:tr>
      <w:tr w:rsidR="00587240" w:rsidRPr="000A0338" w14:paraId="6FD402CE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5203B88D" w14:textId="4C1B64CC" w:rsidR="00587240" w:rsidRPr="000A0338" w:rsidRDefault="00587240" w:rsidP="0070533D">
            <w:r>
              <w:t>NextSeq 2000 P4 – 200 Cycles</w:t>
            </w:r>
          </w:p>
        </w:tc>
        <w:tc>
          <w:tcPr>
            <w:tcW w:w="1620" w:type="dxa"/>
            <w:vAlign w:val="center"/>
          </w:tcPr>
          <w:p w14:paraId="73CBE318" w14:textId="46245350" w:rsidR="00587240" w:rsidRPr="000A0338" w:rsidRDefault="00587240" w:rsidP="0070533D">
            <w:r>
              <w:t>1.8B</w:t>
            </w:r>
          </w:p>
        </w:tc>
      </w:tr>
      <w:tr w:rsidR="00587240" w:rsidRPr="000A0338" w14:paraId="746B36C2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0A7DBE67" w14:textId="77777777" w:rsidR="00587240" w:rsidRPr="000A0338" w:rsidRDefault="00587240" w:rsidP="0070533D">
            <w:r w:rsidRPr="000A0338">
              <w:t>NextSeq 2000 P3 – 50 Cycles</w:t>
            </w:r>
          </w:p>
        </w:tc>
        <w:tc>
          <w:tcPr>
            <w:tcW w:w="1620" w:type="dxa"/>
            <w:vAlign w:val="center"/>
          </w:tcPr>
          <w:p w14:paraId="14FE2201" w14:textId="77777777" w:rsidR="00587240" w:rsidRPr="000A0338" w:rsidRDefault="00587240" w:rsidP="0070533D">
            <w:r w:rsidRPr="000A0338">
              <w:t>1.2B</w:t>
            </w:r>
          </w:p>
        </w:tc>
      </w:tr>
      <w:tr w:rsidR="00587240" w:rsidRPr="000A0338" w14:paraId="2B9D4E94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5020ABBC" w14:textId="77777777" w:rsidR="00587240" w:rsidRPr="000A0338" w:rsidRDefault="00587240" w:rsidP="0070533D">
            <w:r w:rsidRPr="000A0338">
              <w:t>NextSeq 2000 P3 – 100 Cycles</w:t>
            </w:r>
          </w:p>
        </w:tc>
        <w:tc>
          <w:tcPr>
            <w:tcW w:w="1620" w:type="dxa"/>
            <w:vAlign w:val="center"/>
          </w:tcPr>
          <w:p w14:paraId="10691D7F" w14:textId="77777777" w:rsidR="00587240" w:rsidRPr="000A0338" w:rsidRDefault="00587240" w:rsidP="0070533D">
            <w:r w:rsidRPr="000A0338">
              <w:t>1.2B</w:t>
            </w:r>
          </w:p>
        </w:tc>
      </w:tr>
      <w:tr w:rsidR="00587240" w:rsidRPr="000A0338" w14:paraId="2DE6E5A3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4CDC5B82" w14:textId="77777777" w:rsidR="00587240" w:rsidRPr="000A0338" w:rsidRDefault="00587240" w:rsidP="0070533D">
            <w:r w:rsidRPr="000A0338">
              <w:t>NextSeq 2000 P3 – 200 Cycles</w:t>
            </w:r>
          </w:p>
        </w:tc>
        <w:tc>
          <w:tcPr>
            <w:tcW w:w="1620" w:type="dxa"/>
            <w:vAlign w:val="center"/>
          </w:tcPr>
          <w:p w14:paraId="3CAF589A" w14:textId="77777777" w:rsidR="00587240" w:rsidRPr="000A0338" w:rsidRDefault="00587240" w:rsidP="0070533D">
            <w:r w:rsidRPr="000A0338">
              <w:t>1.2B</w:t>
            </w:r>
          </w:p>
        </w:tc>
      </w:tr>
      <w:tr w:rsidR="00587240" w:rsidRPr="000A0338" w14:paraId="6947201E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0E0461F4" w14:textId="77777777" w:rsidR="00587240" w:rsidRPr="000A0338" w:rsidRDefault="00587240" w:rsidP="0070533D">
            <w:r w:rsidRPr="000A0338">
              <w:t>NextSeq 2000 P3 – 300 Cycles</w:t>
            </w:r>
          </w:p>
        </w:tc>
        <w:tc>
          <w:tcPr>
            <w:tcW w:w="1620" w:type="dxa"/>
            <w:vAlign w:val="center"/>
          </w:tcPr>
          <w:p w14:paraId="592E88E8" w14:textId="77777777" w:rsidR="00587240" w:rsidRPr="000A0338" w:rsidRDefault="00587240" w:rsidP="0070533D">
            <w:r w:rsidRPr="000A0338">
              <w:t>1.2B</w:t>
            </w:r>
          </w:p>
        </w:tc>
      </w:tr>
      <w:tr w:rsidR="00587240" w:rsidRPr="000A0338" w14:paraId="59564890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68A8180E" w14:textId="77777777" w:rsidR="00587240" w:rsidRPr="000A0338" w:rsidRDefault="00587240" w:rsidP="0070533D">
            <w:r w:rsidRPr="000A0338">
              <w:t>NextSeq 2000 P2 – 100 Cycles</w:t>
            </w:r>
          </w:p>
        </w:tc>
        <w:tc>
          <w:tcPr>
            <w:tcW w:w="1620" w:type="dxa"/>
            <w:vAlign w:val="center"/>
          </w:tcPr>
          <w:p w14:paraId="13AFC647" w14:textId="77777777" w:rsidR="00587240" w:rsidRPr="000A0338" w:rsidRDefault="00587240" w:rsidP="0070533D">
            <w:r w:rsidRPr="000A0338">
              <w:t>400M</w:t>
            </w:r>
          </w:p>
        </w:tc>
      </w:tr>
      <w:tr w:rsidR="00587240" w:rsidRPr="000A0338" w14:paraId="5FF746DE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5E2AB40C" w14:textId="77777777" w:rsidR="00587240" w:rsidRPr="000A0338" w:rsidRDefault="00587240" w:rsidP="0070533D">
            <w:r w:rsidRPr="000A0338">
              <w:t>NextSeq 2000 P2 – 200 Cycles</w:t>
            </w:r>
          </w:p>
        </w:tc>
        <w:tc>
          <w:tcPr>
            <w:tcW w:w="1620" w:type="dxa"/>
            <w:vAlign w:val="center"/>
          </w:tcPr>
          <w:p w14:paraId="274A143E" w14:textId="77777777" w:rsidR="00587240" w:rsidRPr="000A0338" w:rsidRDefault="00587240" w:rsidP="0070533D">
            <w:r w:rsidRPr="000A0338">
              <w:t>400M</w:t>
            </w:r>
          </w:p>
        </w:tc>
      </w:tr>
      <w:tr w:rsidR="00587240" w:rsidRPr="000A0338" w14:paraId="1DF1E2C8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2C66A344" w14:textId="77777777" w:rsidR="00587240" w:rsidRPr="000A0338" w:rsidRDefault="00587240" w:rsidP="0070533D">
            <w:r w:rsidRPr="000A0338">
              <w:t>NextSeq 2000 P2 – 300 Cycles</w:t>
            </w:r>
          </w:p>
        </w:tc>
        <w:tc>
          <w:tcPr>
            <w:tcW w:w="1620" w:type="dxa"/>
            <w:vAlign w:val="center"/>
          </w:tcPr>
          <w:p w14:paraId="789241C4" w14:textId="77777777" w:rsidR="00587240" w:rsidRPr="000A0338" w:rsidRDefault="00587240" w:rsidP="0070533D">
            <w:r w:rsidRPr="000A0338">
              <w:t>400M</w:t>
            </w:r>
          </w:p>
        </w:tc>
      </w:tr>
      <w:tr w:rsidR="00587240" w:rsidRPr="000A0338" w14:paraId="6923AE2C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6395DFC1" w14:textId="77777777" w:rsidR="00587240" w:rsidRPr="000A0338" w:rsidRDefault="00587240" w:rsidP="0070533D">
            <w:r w:rsidRPr="000A0338">
              <w:t>NextSeq 2000 P1 – 100 Cycles</w:t>
            </w:r>
          </w:p>
        </w:tc>
        <w:tc>
          <w:tcPr>
            <w:tcW w:w="1620" w:type="dxa"/>
            <w:vAlign w:val="center"/>
          </w:tcPr>
          <w:p w14:paraId="07B5EBCC" w14:textId="77777777" w:rsidR="00587240" w:rsidRPr="000A0338" w:rsidRDefault="00587240" w:rsidP="0070533D">
            <w:r w:rsidRPr="000A0338">
              <w:t>100M</w:t>
            </w:r>
          </w:p>
        </w:tc>
      </w:tr>
      <w:tr w:rsidR="00587240" w:rsidRPr="000A0338" w14:paraId="123EBC7D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18DDCF9D" w14:textId="77777777" w:rsidR="00587240" w:rsidRPr="000A0338" w:rsidRDefault="00587240" w:rsidP="0070533D">
            <w:r w:rsidRPr="000A0338">
              <w:t>NextSeq 2000 P1 – 300 Cycles</w:t>
            </w:r>
          </w:p>
        </w:tc>
        <w:tc>
          <w:tcPr>
            <w:tcW w:w="1620" w:type="dxa"/>
            <w:vAlign w:val="center"/>
          </w:tcPr>
          <w:p w14:paraId="107276A8" w14:textId="77777777" w:rsidR="00587240" w:rsidRPr="000A0338" w:rsidRDefault="00587240" w:rsidP="0070533D">
            <w:r w:rsidRPr="000A0338">
              <w:t>100M</w:t>
            </w:r>
          </w:p>
        </w:tc>
      </w:tr>
      <w:tr w:rsidR="00587240" w:rsidRPr="000A0338" w14:paraId="7A560EA9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0BD1B665" w14:textId="77777777" w:rsidR="00587240" w:rsidRPr="000A0338" w:rsidRDefault="00587240" w:rsidP="0070533D">
            <w:r w:rsidRPr="000A0338">
              <w:rPr>
                <w:rFonts w:hint="eastAsia"/>
              </w:rPr>
              <w:t>Next</w:t>
            </w:r>
            <w:r w:rsidRPr="000A0338">
              <w:t>Seq 2000 P1 – 600 Cycles</w:t>
            </w:r>
          </w:p>
        </w:tc>
        <w:tc>
          <w:tcPr>
            <w:tcW w:w="1620" w:type="dxa"/>
            <w:vAlign w:val="center"/>
          </w:tcPr>
          <w:p w14:paraId="074EEFE6" w14:textId="77777777" w:rsidR="00587240" w:rsidRPr="000A0338" w:rsidRDefault="00587240" w:rsidP="0070533D">
            <w:r w:rsidRPr="000A0338">
              <w:t>100M</w:t>
            </w:r>
          </w:p>
        </w:tc>
      </w:tr>
      <w:tr w:rsidR="00587240" w:rsidRPr="000A0338" w14:paraId="0516FEC6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527D6DDE" w14:textId="77777777" w:rsidR="00587240" w:rsidRPr="000A0338" w:rsidRDefault="00587240" w:rsidP="0070533D">
            <w:r w:rsidRPr="000A0338">
              <w:t>MiSeq v3 – 150 Cycles</w:t>
            </w:r>
          </w:p>
        </w:tc>
        <w:tc>
          <w:tcPr>
            <w:tcW w:w="1620" w:type="dxa"/>
            <w:vAlign w:val="center"/>
          </w:tcPr>
          <w:p w14:paraId="30ECBCE2" w14:textId="77777777" w:rsidR="00587240" w:rsidRPr="000A0338" w:rsidRDefault="00587240" w:rsidP="0070533D">
            <w:r w:rsidRPr="000A0338">
              <w:t>25M</w:t>
            </w:r>
          </w:p>
        </w:tc>
      </w:tr>
      <w:tr w:rsidR="00587240" w:rsidRPr="000A0338" w14:paraId="12C5F952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5E38AF25" w14:textId="77777777" w:rsidR="00587240" w:rsidRPr="000A0338" w:rsidRDefault="00587240" w:rsidP="0070533D">
            <w:r w:rsidRPr="000A0338">
              <w:rPr>
                <w:rFonts w:hint="eastAsia"/>
              </w:rPr>
              <w:t>MiSeq</w:t>
            </w:r>
            <w:r w:rsidRPr="000A0338">
              <w:t xml:space="preserve"> v3 – 600 Cycles</w:t>
            </w:r>
          </w:p>
        </w:tc>
        <w:tc>
          <w:tcPr>
            <w:tcW w:w="1620" w:type="dxa"/>
            <w:vAlign w:val="center"/>
          </w:tcPr>
          <w:p w14:paraId="3FA407A4" w14:textId="77777777" w:rsidR="00587240" w:rsidRPr="000A0338" w:rsidRDefault="00587240" w:rsidP="0070533D">
            <w:r w:rsidRPr="000A0338">
              <w:t>25M</w:t>
            </w:r>
          </w:p>
        </w:tc>
      </w:tr>
      <w:tr w:rsidR="00587240" w:rsidRPr="000A0338" w14:paraId="49E3701F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4FFA70FE" w14:textId="77777777" w:rsidR="00587240" w:rsidRPr="000A0338" w:rsidRDefault="00587240" w:rsidP="0070533D">
            <w:r w:rsidRPr="000A0338">
              <w:t xml:space="preserve">MiSeq v2 – 50 Cycles </w:t>
            </w:r>
          </w:p>
        </w:tc>
        <w:tc>
          <w:tcPr>
            <w:tcW w:w="1620" w:type="dxa"/>
            <w:vAlign w:val="center"/>
          </w:tcPr>
          <w:p w14:paraId="55CD8E93" w14:textId="77777777" w:rsidR="00587240" w:rsidRPr="000A0338" w:rsidRDefault="00587240" w:rsidP="0070533D">
            <w:r w:rsidRPr="000A0338">
              <w:t>15M</w:t>
            </w:r>
          </w:p>
        </w:tc>
      </w:tr>
      <w:tr w:rsidR="00587240" w:rsidRPr="000A0338" w14:paraId="738F3C8C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3551437B" w14:textId="77777777" w:rsidR="00587240" w:rsidRPr="000A0338" w:rsidRDefault="00587240" w:rsidP="0070533D">
            <w:r w:rsidRPr="000A0338">
              <w:t>MiSeq v2 – 300 Cycles</w:t>
            </w:r>
          </w:p>
        </w:tc>
        <w:tc>
          <w:tcPr>
            <w:tcW w:w="1620" w:type="dxa"/>
            <w:vAlign w:val="center"/>
          </w:tcPr>
          <w:p w14:paraId="0996A6F2" w14:textId="77777777" w:rsidR="00587240" w:rsidRPr="000A0338" w:rsidRDefault="00587240" w:rsidP="0070533D">
            <w:r w:rsidRPr="000A0338">
              <w:t>15M</w:t>
            </w:r>
          </w:p>
        </w:tc>
      </w:tr>
      <w:tr w:rsidR="00587240" w:rsidRPr="000A0338" w14:paraId="626EBEA0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5912AE42" w14:textId="77777777" w:rsidR="00587240" w:rsidRPr="000A0338" w:rsidRDefault="00587240" w:rsidP="0070533D">
            <w:r w:rsidRPr="000A0338">
              <w:t>MiSeq Micro v2 – 300 Cycles</w:t>
            </w:r>
          </w:p>
        </w:tc>
        <w:tc>
          <w:tcPr>
            <w:tcW w:w="1620" w:type="dxa"/>
            <w:vAlign w:val="center"/>
          </w:tcPr>
          <w:p w14:paraId="3CB40D4B" w14:textId="77777777" w:rsidR="00587240" w:rsidRPr="000A0338" w:rsidRDefault="00587240" w:rsidP="0070533D">
            <w:r w:rsidRPr="000A0338">
              <w:t>4M</w:t>
            </w:r>
          </w:p>
        </w:tc>
      </w:tr>
      <w:tr w:rsidR="00587240" w:rsidRPr="000A0338" w14:paraId="5E957CC9" w14:textId="77777777" w:rsidTr="00587240">
        <w:trPr>
          <w:trHeight w:val="432"/>
        </w:trPr>
        <w:tc>
          <w:tcPr>
            <w:tcW w:w="3865" w:type="dxa"/>
            <w:vAlign w:val="center"/>
          </w:tcPr>
          <w:p w14:paraId="4D93EBCC" w14:textId="77777777" w:rsidR="00587240" w:rsidRPr="000A0338" w:rsidRDefault="00587240" w:rsidP="0070533D">
            <w:r w:rsidRPr="000A0338">
              <w:t>MiSeq Nano v2 – 300 Cycles</w:t>
            </w:r>
          </w:p>
        </w:tc>
        <w:tc>
          <w:tcPr>
            <w:tcW w:w="1620" w:type="dxa"/>
            <w:vAlign w:val="center"/>
          </w:tcPr>
          <w:p w14:paraId="3EC9CBA0" w14:textId="77777777" w:rsidR="00587240" w:rsidRPr="000A0338" w:rsidRDefault="00587240" w:rsidP="0070533D">
            <w:r w:rsidRPr="000A0338">
              <w:t>1M</w:t>
            </w:r>
          </w:p>
        </w:tc>
      </w:tr>
    </w:tbl>
    <w:p w14:paraId="14FCE942" w14:textId="77777777" w:rsidR="00587240" w:rsidRDefault="00587240" w:rsidP="00587240">
      <w:pPr>
        <w:jc w:val="both"/>
      </w:pPr>
    </w:p>
    <w:p w14:paraId="09F8B007" w14:textId="77777777" w:rsidR="00587240" w:rsidRDefault="00587240" w:rsidP="00587240">
      <w:r w:rsidRPr="000A0338">
        <w:t xml:space="preserve">* </w:t>
      </w:r>
      <w:r w:rsidRPr="00587240">
        <w:t>Cycles: Total number of sequencing cycles (i.e., total bases sequenced per read). For example, a 100</w:t>
      </w:r>
      <w:r w:rsidRPr="00587240">
        <w:rPr>
          <w:rFonts w:ascii="Cambria Math" w:hAnsi="Cambria Math" w:cs="Cambria Math"/>
        </w:rPr>
        <w:t>‑</w:t>
      </w:r>
      <w:r w:rsidRPr="00587240">
        <w:t xml:space="preserve">cycle kit supports SR100 or PE50 (50 cycles per read </w:t>
      </w:r>
      <w:r w:rsidRPr="00587240">
        <w:rPr>
          <w:rFonts w:ascii="Aptos" w:hAnsi="Aptos" w:cs="Aptos"/>
        </w:rPr>
        <w:t>×</w:t>
      </w:r>
      <w:r w:rsidRPr="00587240">
        <w:t xml:space="preserve"> 2 reads).</w:t>
      </w:r>
    </w:p>
    <w:p w14:paraId="6C316BA4" w14:textId="431D5CAA" w:rsidR="00587240" w:rsidRDefault="00587240" w:rsidP="00587240">
      <w:r w:rsidRPr="000A0338">
        <w:t xml:space="preserve">** </w:t>
      </w:r>
      <w:r>
        <w:t>M = million; B = billion. Read counts are typically listed as single</w:t>
      </w:r>
      <w:r>
        <w:rPr>
          <w:rFonts w:ascii="Cambria Math" w:hAnsi="Cambria Math" w:cs="Cambria Math"/>
        </w:rPr>
        <w:t>‑</w:t>
      </w:r>
      <w:r>
        <w:t>read equivalents (SR). In paired</w:t>
      </w:r>
      <w:r>
        <w:rPr>
          <w:rFonts w:ascii="Cambria Math" w:hAnsi="Cambria Math" w:cs="Cambria Math"/>
        </w:rPr>
        <w:t>‑</w:t>
      </w:r>
      <w:r>
        <w:t>end (PE) mode, the instrument generates approximately twice the number of reads (two reads per cluster).</w:t>
      </w:r>
    </w:p>
    <w:p w14:paraId="3EFB7148" w14:textId="4C714FF8" w:rsidR="00587240" w:rsidRDefault="00587240" w:rsidP="00587240">
      <w:r>
        <w:t>When planning throughput, please account for additional reads beyond your sequencing needs. This is because:</w:t>
      </w:r>
    </w:p>
    <w:p w14:paraId="4F35B6FD" w14:textId="077FFACB" w:rsidR="00587240" w:rsidRDefault="00587240" w:rsidP="00587240">
      <w:pPr>
        <w:pStyle w:val="ListParagraph"/>
        <w:numPr>
          <w:ilvl w:val="0"/>
          <w:numId w:val="3"/>
        </w:numPr>
      </w:pPr>
      <w:r>
        <w:t>A portion of the sequencing reads will be removed during quality filtering.</w:t>
      </w:r>
    </w:p>
    <w:p w14:paraId="5AB9EDF6" w14:textId="4E7436AF" w:rsidR="00587240" w:rsidRDefault="00587240" w:rsidP="00587240">
      <w:pPr>
        <w:pStyle w:val="ListParagraph"/>
        <w:numPr>
          <w:ilvl w:val="0"/>
          <w:numId w:val="3"/>
        </w:numPr>
      </w:pPr>
      <w:r>
        <w:t>PhiX is routinely spiked into libraries for quality control.</w:t>
      </w:r>
    </w:p>
    <w:p w14:paraId="29EADF58" w14:textId="77777777" w:rsidR="00587240" w:rsidRDefault="00587240" w:rsidP="00587240"/>
    <w:p w14:paraId="3286F8CE" w14:textId="77777777" w:rsidR="00587240" w:rsidRDefault="00587240" w:rsidP="00587240">
      <w:r>
        <w:lastRenderedPageBreak/>
        <w:t>PhiX spike</w:t>
      </w:r>
      <w:r>
        <w:rPr>
          <w:rFonts w:ascii="Cambria Math" w:hAnsi="Cambria Math" w:cs="Cambria Math"/>
        </w:rPr>
        <w:t>‑</w:t>
      </w:r>
      <w:r>
        <w:t>in typically ranges from 10% to 50%, depending on library complexity. Low</w:t>
      </w:r>
      <w:r>
        <w:rPr>
          <w:rFonts w:ascii="Cambria Math" w:hAnsi="Cambria Math" w:cs="Cambria Math"/>
        </w:rPr>
        <w:t>‑</w:t>
      </w:r>
      <w:r>
        <w:t>complexity libraries (e.g., amplicon</w:t>
      </w:r>
      <w:r>
        <w:rPr>
          <w:rFonts w:ascii="Cambria Math" w:hAnsi="Cambria Math" w:cs="Cambria Math"/>
        </w:rPr>
        <w:t>‑</w:t>
      </w:r>
      <w:r>
        <w:t>seq and some ChIP</w:t>
      </w:r>
      <w:r>
        <w:rPr>
          <w:rFonts w:ascii="Cambria Math" w:hAnsi="Cambria Math" w:cs="Cambria Math"/>
        </w:rPr>
        <w:t>‑</w:t>
      </w:r>
      <w:r>
        <w:t>seq libraries) generally require higher PhiX percentages to maintain base diversity.</w:t>
      </w:r>
    </w:p>
    <w:p w14:paraId="4C52FD98" w14:textId="77777777" w:rsidR="00587240" w:rsidRDefault="00587240" w:rsidP="00587240">
      <w:r>
        <w:t>Example: For a PE100 RNA</w:t>
      </w:r>
      <w:r>
        <w:rPr>
          <w:rFonts w:ascii="Cambria Math" w:hAnsi="Cambria Math" w:cs="Cambria Math"/>
        </w:rPr>
        <w:t>‑</w:t>
      </w:r>
      <w:r>
        <w:t>seq experiment targeting 25M reads per sample, a P2 200</w:t>
      </w:r>
      <w:r>
        <w:rPr>
          <w:rFonts w:ascii="Cambria Math" w:hAnsi="Cambria Math" w:cs="Cambria Math"/>
        </w:rPr>
        <w:t>‑</w:t>
      </w:r>
      <w:r>
        <w:t>cycle flow cell (maximum ~400M reads in SR equivalents) can typically accommodate ~12</w:t>
      </w:r>
      <w:r>
        <w:rPr>
          <w:rFonts w:ascii="Aptos" w:hAnsi="Aptos" w:cs="Aptos"/>
        </w:rPr>
        <w:t>–</w:t>
      </w:r>
      <w:r>
        <w:t>14 samples. Although 400/25 = 16 theoretically, additional capacity is reserved to account for PhiX and read filtering.</w:t>
      </w:r>
    </w:p>
    <w:p w14:paraId="6DB11974" w14:textId="77777777" w:rsidR="00587240" w:rsidRDefault="00587240" w:rsidP="00587240">
      <w:pPr>
        <w:pStyle w:val="Heading2"/>
      </w:pPr>
    </w:p>
    <w:p w14:paraId="6CD70DF1" w14:textId="5D4CFDCA" w:rsidR="00587240" w:rsidRPr="000A0338" w:rsidRDefault="00587240" w:rsidP="00587240">
      <w:pPr>
        <w:pStyle w:val="Heading2"/>
      </w:pPr>
      <w:r w:rsidRPr="000A0338">
        <w:t>Typical experiment</w:t>
      </w:r>
      <w:r>
        <w:t>al requirement</w:t>
      </w:r>
      <w:r w:rsidRPr="000A0338">
        <w:t xml:space="preserve"> (for human and mouse </w:t>
      </w:r>
      <w:r>
        <w:t>samples</w:t>
      </w:r>
      <w:r w:rsidRPr="000A0338">
        <w:t>)</w:t>
      </w:r>
    </w:p>
    <w:p w14:paraId="1D207E1B" w14:textId="77777777" w:rsidR="00587240" w:rsidRDefault="00587240" w:rsidP="00587240">
      <w:r>
        <w:t>RNA</w:t>
      </w:r>
      <w:r>
        <w:rPr>
          <w:rFonts w:ascii="Cambria Math" w:hAnsi="Cambria Math" w:cs="Cambria Math"/>
        </w:rPr>
        <w:t>‑</w:t>
      </w:r>
      <w:r>
        <w:t>seq</w:t>
      </w:r>
    </w:p>
    <w:p w14:paraId="0292922D" w14:textId="26BB5A60" w:rsidR="00587240" w:rsidRDefault="00587240" w:rsidP="00587240">
      <w:pPr>
        <w:pStyle w:val="ListParagraph"/>
        <w:numPr>
          <w:ilvl w:val="0"/>
          <w:numId w:val="4"/>
        </w:numPr>
      </w:pPr>
      <w:r>
        <w:t>Read type/length: At least PE50 (longer reads recommended for splicing/isoform analysis)</w:t>
      </w:r>
    </w:p>
    <w:p w14:paraId="4BFE7CF2" w14:textId="5F5875F6" w:rsidR="00587240" w:rsidRDefault="00587240" w:rsidP="00587240">
      <w:pPr>
        <w:pStyle w:val="ListParagraph"/>
        <w:numPr>
          <w:ilvl w:val="0"/>
          <w:numId w:val="4"/>
        </w:numPr>
      </w:pPr>
      <w:r>
        <w:t>Depth: 20–25M reads per sample</w:t>
      </w:r>
    </w:p>
    <w:p w14:paraId="599BD7E7" w14:textId="77777777" w:rsidR="00587240" w:rsidRDefault="00587240" w:rsidP="00587240">
      <w:r>
        <w:t>ChIP</w:t>
      </w:r>
      <w:r>
        <w:rPr>
          <w:rFonts w:ascii="Cambria Math" w:hAnsi="Cambria Math" w:cs="Cambria Math"/>
        </w:rPr>
        <w:t>‑</w:t>
      </w:r>
      <w:r>
        <w:t>seq</w:t>
      </w:r>
    </w:p>
    <w:p w14:paraId="4AB6AA22" w14:textId="13AD245B" w:rsidR="00587240" w:rsidRDefault="00587240" w:rsidP="00587240">
      <w:pPr>
        <w:pStyle w:val="ListParagraph"/>
        <w:numPr>
          <w:ilvl w:val="0"/>
          <w:numId w:val="5"/>
        </w:numPr>
      </w:pPr>
      <w:r>
        <w:t>Read type/length: SR or PE; PE is recommended because it can improve library complexity and mapping rate</w:t>
      </w:r>
    </w:p>
    <w:p w14:paraId="77EE0F09" w14:textId="77777777" w:rsidR="00587240" w:rsidRDefault="00587240" w:rsidP="00587240">
      <w:pPr>
        <w:pStyle w:val="ListParagraph"/>
        <w:numPr>
          <w:ilvl w:val="0"/>
          <w:numId w:val="5"/>
        </w:numPr>
      </w:pPr>
      <w:r>
        <w:t xml:space="preserve">Depth: </w:t>
      </w:r>
    </w:p>
    <w:p w14:paraId="78160F14" w14:textId="774A4961" w:rsidR="00587240" w:rsidRDefault="00587240" w:rsidP="00587240">
      <w:pPr>
        <w:pStyle w:val="ListParagraph"/>
        <w:numPr>
          <w:ilvl w:val="1"/>
          <w:numId w:val="5"/>
        </w:numPr>
      </w:pPr>
      <w:r>
        <w:t>Narrow peaks: &gt;10M reads</w:t>
      </w:r>
    </w:p>
    <w:p w14:paraId="014D68A8" w14:textId="16B71C01" w:rsidR="00587240" w:rsidRDefault="00587240" w:rsidP="00587240">
      <w:pPr>
        <w:pStyle w:val="ListParagraph"/>
        <w:numPr>
          <w:ilvl w:val="1"/>
          <w:numId w:val="5"/>
        </w:numPr>
      </w:pPr>
      <w:r>
        <w:t>Broad peaks: &gt;20M reads</w:t>
      </w:r>
    </w:p>
    <w:p w14:paraId="5AA5D56A" w14:textId="77777777" w:rsidR="00587240" w:rsidRDefault="00587240" w:rsidP="00587240">
      <w:r>
        <w:t>ATAC</w:t>
      </w:r>
      <w:r>
        <w:rPr>
          <w:rFonts w:ascii="Cambria Math" w:hAnsi="Cambria Math" w:cs="Cambria Math"/>
        </w:rPr>
        <w:t>‑</w:t>
      </w:r>
      <w:r>
        <w:t>seq</w:t>
      </w:r>
    </w:p>
    <w:p w14:paraId="26F938E3" w14:textId="52942551" w:rsidR="00587240" w:rsidRDefault="00587240" w:rsidP="00587240">
      <w:pPr>
        <w:pStyle w:val="ListParagraph"/>
        <w:numPr>
          <w:ilvl w:val="0"/>
          <w:numId w:val="6"/>
        </w:numPr>
      </w:pPr>
      <w:r>
        <w:t>Read type/length: PE50 to PE100; SR is not recommended</w:t>
      </w:r>
    </w:p>
    <w:p w14:paraId="42081184" w14:textId="748FC1D7" w:rsidR="00587240" w:rsidRDefault="00587240" w:rsidP="00587240">
      <w:pPr>
        <w:pStyle w:val="ListParagraph"/>
        <w:numPr>
          <w:ilvl w:val="0"/>
          <w:numId w:val="6"/>
        </w:numPr>
      </w:pPr>
      <w:r>
        <w:t>Depth: 25–200M reads, depending on experimental goals (e.g., footprinting analysis requires more reads)</w:t>
      </w:r>
    </w:p>
    <w:p w14:paraId="4783ADCD" w14:textId="77777777" w:rsidR="00587240" w:rsidRDefault="00587240" w:rsidP="00587240">
      <w:r>
        <w:t>CUT&amp;RUN</w:t>
      </w:r>
    </w:p>
    <w:p w14:paraId="21AF6791" w14:textId="13D5B039" w:rsidR="00587240" w:rsidRDefault="00587240" w:rsidP="00587240">
      <w:pPr>
        <w:pStyle w:val="ListParagraph"/>
        <w:numPr>
          <w:ilvl w:val="0"/>
          <w:numId w:val="7"/>
        </w:numPr>
      </w:pPr>
      <w:r>
        <w:t>Read type/length: At least PE25; SR is not recommended</w:t>
      </w:r>
    </w:p>
    <w:p w14:paraId="021B43CD" w14:textId="24D4D0AA" w:rsidR="00587240" w:rsidRDefault="00587240" w:rsidP="00587240">
      <w:pPr>
        <w:pStyle w:val="ListParagraph"/>
        <w:numPr>
          <w:ilvl w:val="0"/>
          <w:numId w:val="7"/>
        </w:numPr>
      </w:pPr>
      <w:r>
        <w:t>Depth: 3–8M reads</w:t>
      </w:r>
    </w:p>
    <w:p w14:paraId="27D9F70A" w14:textId="77777777" w:rsidR="00587240" w:rsidRDefault="00587240" w:rsidP="00587240"/>
    <w:p w14:paraId="7A29DF4A" w14:textId="3CB4C49E" w:rsidR="00587240" w:rsidRDefault="00587240" w:rsidP="00587240">
      <w:pPr>
        <w:pStyle w:val="Heading2"/>
      </w:pPr>
      <w:r w:rsidRPr="00587240">
        <w:t xml:space="preserve">Additional </w:t>
      </w:r>
      <w:r>
        <w:t>N</w:t>
      </w:r>
      <w:r w:rsidRPr="00587240">
        <w:t>ote</w:t>
      </w:r>
    </w:p>
    <w:p w14:paraId="14FF8235" w14:textId="4461E20D" w:rsidR="00587240" w:rsidRPr="000A0338" w:rsidRDefault="00587240" w:rsidP="00587240">
      <w:r w:rsidRPr="00587240">
        <w:t>Samples derived from cancer genomes often benefit from longer reads (and/or paired</w:t>
      </w:r>
      <w:r w:rsidRPr="00587240">
        <w:rPr>
          <w:rFonts w:ascii="Cambria Math" w:hAnsi="Cambria Math" w:cs="Cambria Math"/>
        </w:rPr>
        <w:t>‑</w:t>
      </w:r>
      <w:r w:rsidRPr="00587240">
        <w:t>end sequencing) to improve mapping performance, especially in the presence of structural variation, copy-number changes, and repetitive regions.</w:t>
      </w:r>
    </w:p>
    <w:p w14:paraId="09F52EAB" w14:textId="77777777" w:rsidR="00BC20CF" w:rsidRDefault="00BC20CF"/>
    <w:sectPr w:rsidR="00BC20CF" w:rsidSect="005872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886"/>
    <w:multiLevelType w:val="hybridMultilevel"/>
    <w:tmpl w:val="19F2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0902"/>
    <w:multiLevelType w:val="hybridMultilevel"/>
    <w:tmpl w:val="9CEE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14"/>
    <w:multiLevelType w:val="hybridMultilevel"/>
    <w:tmpl w:val="E352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C56D6"/>
    <w:multiLevelType w:val="hybridMultilevel"/>
    <w:tmpl w:val="185E0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CDB"/>
    <w:multiLevelType w:val="hybridMultilevel"/>
    <w:tmpl w:val="8D42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02737"/>
    <w:multiLevelType w:val="hybridMultilevel"/>
    <w:tmpl w:val="64D0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6B87"/>
    <w:multiLevelType w:val="hybridMultilevel"/>
    <w:tmpl w:val="D2FE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49927">
    <w:abstractNumId w:val="3"/>
  </w:num>
  <w:num w:numId="2" w16cid:durableId="145057044">
    <w:abstractNumId w:val="5"/>
  </w:num>
  <w:num w:numId="3" w16cid:durableId="579173231">
    <w:abstractNumId w:val="1"/>
  </w:num>
  <w:num w:numId="4" w16cid:durableId="1776098331">
    <w:abstractNumId w:val="6"/>
  </w:num>
  <w:num w:numId="5" w16cid:durableId="2047946674">
    <w:abstractNumId w:val="0"/>
  </w:num>
  <w:num w:numId="6" w16cid:durableId="342441274">
    <w:abstractNumId w:val="2"/>
  </w:num>
  <w:num w:numId="7" w16cid:durableId="23405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CF"/>
    <w:rsid w:val="001A3312"/>
    <w:rsid w:val="00587240"/>
    <w:rsid w:val="00943D27"/>
    <w:rsid w:val="009A5714"/>
    <w:rsid w:val="00B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D597"/>
  <w15:chartTrackingRefBased/>
  <w15:docId w15:val="{975EBDF7-4AF9-4AB6-89C7-45C387B8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240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24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7240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240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240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24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240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24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240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87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240"/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240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587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240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587240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587240"/>
    <w:rPr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uiPriority w:val="99"/>
    <w:unhideWhenUsed/>
    <w:rsid w:val="00587240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5872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72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72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2315</Characters>
  <Application>Microsoft Office Word</Application>
  <DocSecurity>4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Sihan Wu</dc:creator>
  <cp:keywords/>
  <dc:description/>
  <cp:lastModifiedBy>Cristen Hixson</cp:lastModifiedBy>
  <cp:revision>2</cp:revision>
  <dcterms:created xsi:type="dcterms:W3CDTF">2026-04-23T18:40:00Z</dcterms:created>
  <dcterms:modified xsi:type="dcterms:W3CDTF">2026-04-23T18:40:00Z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a30621f5-457f-4451-aa64-e1d09d401922</vt:lpwstr>
  </property>
</Properties>
</file>