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2F1F" w14:textId="76F6DC75" w:rsidR="002D537C" w:rsidRDefault="00974803" w:rsidP="005E2024">
      <w:pPr>
        <w:pStyle w:val="Heading1"/>
        <w:jc w:val="both"/>
      </w:pPr>
      <w:r>
        <w:t>NGS Library Dilution and QC Analysis</w:t>
      </w:r>
    </w:p>
    <w:p w14:paraId="4744113B" w14:textId="6F8CBC14" w:rsidR="00974803" w:rsidRDefault="00974803" w:rsidP="005E2024">
      <w:pPr>
        <w:pStyle w:val="Subtitle"/>
        <w:jc w:val="both"/>
      </w:pPr>
      <w:r>
        <w:t>CRI Sequencing Core Facility</w:t>
      </w:r>
      <w:r w:rsidR="005E2024">
        <w:t>.</w:t>
      </w:r>
    </w:p>
    <w:p w14:paraId="0CB2D359" w14:textId="413CBEFD" w:rsidR="005E2024" w:rsidRPr="005E2024" w:rsidRDefault="005E2024" w:rsidP="005E2024">
      <w:pPr>
        <w:jc w:val="both"/>
        <w:rPr>
          <w:rStyle w:val="SubtleEmphasis"/>
        </w:rPr>
      </w:pPr>
      <w:r w:rsidRPr="005E2024">
        <w:rPr>
          <w:rStyle w:val="SubtleEmphasis"/>
        </w:rPr>
        <w:t>Last updated: April 21, 2026</w:t>
      </w:r>
    </w:p>
    <w:p w14:paraId="3CD9298B" w14:textId="77777777" w:rsidR="005E2024" w:rsidRDefault="005E2024" w:rsidP="005E2024">
      <w:pPr>
        <w:jc w:val="both"/>
      </w:pPr>
    </w:p>
    <w:p w14:paraId="0CB0F9AE" w14:textId="33897EFB" w:rsidR="005E2024" w:rsidRDefault="005E2024" w:rsidP="005E2024">
      <w:pPr>
        <w:jc w:val="both"/>
      </w:pPr>
      <w:r w:rsidRPr="005E2024">
        <w:t>Assessing library quality before submission is strongly recommended to ensure optimal sequencing performance and high-quality data. This guide outlines how to evaluate library size distribution and concentration, dilute to the appropriate molarity, and prepare an equimolar pool for sequencing.</w:t>
      </w:r>
    </w:p>
    <w:p w14:paraId="24695904" w14:textId="77777777" w:rsidR="005E2024" w:rsidRDefault="005E2024" w:rsidP="005E2024">
      <w:pPr>
        <w:jc w:val="both"/>
      </w:pPr>
    </w:p>
    <w:p w14:paraId="07DF8F82" w14:textId="721B8279" w:rsidR="005E2024" w:rsidRDefault="005E2024" w:rsidP="005E2024">
      <w:pPr>
        <w:pStyle w:val="Heading2"/>
        <w:jc w:val="both"/>
      </w:pPr>
      <w:r>
        <w:t>Overview of Required QC</w:t>
      </w:r>
    </w:p>
    <w:p w14:paraId="269120BB" w14:textId="77777777" w:rsidR="005E2024" w:rsidRDefault="005E2024" w:rsidP="005E2024">
      <w:pPr>
        <w:jc w:val="both"/>
      </w:pPr>
      <w:r>
        <w:t>You will:</w:t>
      </w:r>
    </w:p>
    <w:p w14:paraId="5362869F" w14:textId="656DE9E5" w:rsidR="005E2024" w:rsidRDefault="005E2024" w:rsidP="005E2024">
      <w:pPr>
        <w:pStyle w:val="ListParagraph"/>
        <w:numPr>
          <w:ilvl w:val="0"/>
          <w:numId w:val="1"/>
        </w:numPr>
        <w:jc w:val="both"/>
      </w:pPr>
      <w:r>
        <w:t xml:space="preserve">Measure </w:t>
      </w:r>
      <w:r w:rsidRPr="005E2024">
        <w:rPr>
          <w:b/>
          <w:bCs/>
        </w:rPr>
        <w:t>library size distribution</w:t>
      </w:r>
      <w:r>
        <w:t xml:space="preserve"> (TapeStation or BioAnalyzer).</w:t>
      </w:r>
    </w:p>
    <w:p w14:paraId="05D3717C" w14:textId="44B2D81F" w:rsidR="005E2024" w:rsidRDefault="005E2024" w:rsidP="005E2024">
      <w:pPr>
        <w:pStyle w:val="ListParagraph"/>
        <w:numPr>
          <w:ilvl w:val="0"/>
          <w:numId w:val="1"/>
        </w:numPr>
        <w:jc w:val="both"/>
      </w:pPr>
      <w:r>
        <w:t xml:space="preserve">Measure </w:t>
      </w:r>
      <w:r w:rsidRPr="005E2024">
        <w:rPr>
          <w:b/>
          <w:bCs/>
        </w:rPr>
        <w:t>library concentration</w:t>
      </w:r>
      <w:r>
        <w:t xml:space="preserve"> (Qubit).</w:t>
      </w:r>
    </w:p>
    <w:p w14:paraId="1BB54EDB" w14:textId="1C1A069D" w:rsidR="005E2024" w:rsidRDefault="005E2024" w:rsidP="005E2024">
      <w:pPr>
        <w:pStyle w:val="ListParagraph"/>
        <w:numPr>
          <w:ilvl w:val="0"/>
          <w:numId w:val="1"/>
        </w:numPr>
        <w:jc w:val="both"/>
      </w:pPr>
      <w:r>
        <w:t xml:space="preserve">Calculate and perform </w:t>
      </w:r>
      <w:r w:rsidRPr="005E2024">
        <w:rPr>
          <w:b/>
          <w:bCs/>
        </w:rPr>
        <w:t>dilution to a target molarity</w:t>
      </w:r>
      <w:r>
        <w:t xml:space="preserve"> (10 nM recommended; 4 nM for low-concentration libraries).</w:t>
      </w:r>
    </w:p>
    <w:p w14:paraId="159EF2DD" w14:textId="2D7C7759" w:rsidR="005E2024" w:rsidRDefault="005E2024" w:rsidP="005E2024">
      <w:pPr>
        <w:pStyle w:val="ListParagraph"/>
        <w:numPr>
          <w:ilvl w:val="0"/>
          <w:numId w:val="1"/>
        </w:numPr>
        <w:jc w:val="both"/>
      </w:pPr>
      <w:r w:rsidRPr="005E2024">
        <w:rPr>
          <w:b/>
          <w:bCs/>
        </w:rPr>
        <w:t>Verify</w:t>
      </w:r>
      <w:r>
        <w:t xml:space="preserve"> concentration </w:t>
      </w:r>
      <w:r w:rsidRPr="005E2024">
        <w:t>after dilution</w:t>
      </w:r>
      <w:r>
        <w:t>.</w:t>
      </w:r>
    </w:p>
    <w:p w14:paraId="0DD7D0D2" w14:textId="08CC4AC7" w:rsidR="005E2024" w:rsidRDefault="005E2024" w:rsidP="005E2024">
      <w:pPr>
        <w:pStyle w:val="ListParagraph"/>
        <w:numPr>
          <w:ilvl w:val="0"/>
          <w:numId w:val="1"/>
        </w:numPr>
        <w:jc w:val="both"/>
      </w:pPr>
      <w:r w:rsidRPr="005E2024">
        <w:rPr>
          <w:b/>
          <w:bCs/>
        </w:rPr>
        <w:t>Pool equal volumes</w:t>
      </w:r>
      <w:r>
        <w:t xml:space="preserve"> of normalized libraries.</w:t>
      </w:r>
    </w:p>
    <w:p w14:paraId="2B72B52C" w14:textId="205D58C9" w:rsidR="005E2024" w:rsidRDefault="005E2024" w:rsidP="005E2024">
      <w:pPr>
        <w:pStyle w:val="ListParagraph"/>
        <w:numPr>
          <w:ilvl w:val="0"/>
          <w:numId w:val="1"/>
        </w:numPr>
        <w:jc w:val="both"/>
      </w:pPr>
      <w:r w:rsidRPr="005E2024">
        <w:rPr>
          <w:b/>
          <w:bCs/>
        </w:rPr>
        <w:t>Verify</w:t>
      </w:r>
      <w:r>
        <w:t xml:space="preserve"> concentration of the final pool.</w:t>
      </w:r>
    </w:p>
    <w:p w14:paraId="6A9D2B41" w14:textId="3823DC1B" w:rsidR="005E2024" w:rsidRDefault="005E2024" w:rsidP="005E2024">
      <w:pPr>
        <w:pStyle w:val="ListParagraph"/>
        <w:numPr>
          <w:ilvl w:val="0"/>
          <w:numId w:val="1"/>
        </w:numPr>
        <w:jc w:val="both"/>
      </w:pPr>
      <w:r>
        <w:t xml:space="preserve">Upload the completed </w:t>
      </w:r>
      <w:r w:rsidRPr="005E2024">
        <w:rPr>
          <w:b/>
          <w:bCs/>
        </w:rPr>
        <w:t>QC form</w:t>
      </w:r>
      <w:r>
        <w:t xml:space="preserve"> to PPMS.</w:t>
      </w:r>
    </w:p>
    <w:p w14:paraId="1E7B0B59" w14:textId="35C16D3E" w:rsidR="005E2024" w:rsidRDefault="005E2024" w:rsidP="005E2024">
      <w:pPr>
        <w:jc w:val="both"/>
      </w:pPr>
      <w:r>
        <w:t>QC Form: Download the QC form from PPMS when you place an order.</w:t>
      </w:r>
    </w:p>
    <w:p w14:paraId="4B27C514" w14:textId="77777777" w:rsidR="005E2024" w:rsidRDefault="005E2024" w:rsidP="005E2024">
      <w:pPr>
        <w:jc w:val="both"/>
      </w:pPr>
    </w:p>
    <w:p w14:paraId="300CA945" w14:textId="72875331" w:rsidR="005E2024" w:rsidRDefault="005E2024" w:rsidP="005E2024">
      <w:pPr>
        <w:pStyle w:val="Heading2"/>
        <w:jc w:val="both"/>
      </w:pPr>
      <w:r w:rsidRPr="005E2024">
        <w:t>Step-by-Step Instructions</w:t>
      </w:r>
    </w:p>
    <w:p w14:paraId="024FD8A1" w14:textId="6E9BADF8" w:rsidR="005E2024" w:rsidRDefault="005E2024" w:rsidP="005E2024">
      <w:pPr>
        <w:pStyle w:val="ListParagraph"/>
        <w:numPr>
          <w:ilvl w:val="0"/>
          <w:numId w:val="2"/>
        </w:numPr>
        <w:jc w:val="both"/>
      </w:pPr>
      <w:r>
        <w:t>Determine average library size.</w:t>
      </w:r>
    </w:p>
    <w:p w14:paraId="34BB0122" w14:textId="6AF9FCB1" w:rsidR="005E2024" w:rsidRDefault="005E2024" w:rsidP="005E2024">
      <w:pPr>
        <w:pStyle w:val="ListParagraph"/>
        <w:jc w:val="both"/>
      </w:pPr>
      <w:r>
        <w:t xml:space="preserve">Run each library on TapeStation (or BioAnalyzer) to confirm size distribution and estimate the average fragment size. Record the average library size in the QC form under: </w:t>
      </w:r>
      <w:r w:rsidRPr="005E2024">
        <w:rPr>
          <w:b/>
          <w:bCs/>
        </w:rPr>
        <w:t>“TapeStation Size (bp)”</w:t>
      </w:r>
      <w:r>
        <w:t>.</w:t>
      </w:r>
    </w:p>
    <w:p w14:paraId="47232464" w14:textId="19EF6E17" w:rsidR="00974803" w:rsidRPr="00974803" w:rsidRDefault="00974803" w:rsidP="005E2024">
      <w:pPr>
        <w:jc w:val="both"/>
        <w:rPr>
          <w:rStyle w:val="Strong"/>
        </w:rPr>
      </w:pPr>
      <w:r w:rsidRPr="00974803">
        <w:rPr>
          <w:rStyle w:val="Strong"/>
        </w:rPr>
        <w:t>ChIP-seq or RNA-seq libraries</w:t>
      </w:r>
    </w:p>
    <w:p w14:paraId="0EFB482E" w14:textId="631F699A" w:rsidR="00974803" w:rsidRDefault="00974803" w:rsidP="00D01FD2">
      <w:pPr>
        <w:jc w:val="center"/>
      </w:pPr>
      <w:r>
        <w:rPr>
          <w:noProof/>
        </w:rPr>
        <w:drawing>
          <wp:inline distT="0" distB="0" distL="0" distR="0" wp14:anchorId="25D3637B" wp14:editId="3B87305F">
            <wp:extent cx="892345" cy="1940560"/>
            <wp:effectExtent l="0" t="0" r="3175" b="2540"/>
            <wp:docPr id="1255860480" name="Picture 1" descr="Example TapeStation gel image of ChIP-seq or RNA-seq libr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60480" name="Picture 1" descr="Example TapeStation gel image of ChIP-seq or RNA-seq librarie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349" cy="198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F0D537" wp14:editId="3B2057C6">
            <wp:extent cx="5007659" cy="2219325"/>
            <wp:effectExtent l="0" t="0" r="2540" b="0"/>
            <wp:docPr id="480408866" name="Picture 1" descr="Example TapeStation size distribution image of ChIP-seq or RNA-seq libr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08866" name="Picture 1" descr="Example TapeStation size distribution image of ChIP-seq or RNA-seq libraries"/>
                    <pic:cNvPicPr/>
                  </pic:nvPicPr>
                  <pic:blipFill rotWithShape="1">
                    <a:blip r:embed="rId6"/>
                    <a:srcRect t="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98" cy="2226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04C9E" w14:textId="7109C5C4" w:rsidR="00974803" w:rsidRPr="00974803" w:rsidRDefault="00974803" w:rsidP="005E2024">
      <w:pPr>
        <w:jc w:val="both"/>
        <w:rPr>
          <w:rStyle w:val="Strong"/>
        </w:rPr>
      </w:pPr>
      <w:r w:rsidRPr="00974803">
        <w:rPr>
          <w:rStyle w:val="Strong"/>
        </w:rPr>
        <w:lastRenderedPageBreak/>
        <w:t>ATAC-seq libraries</w:t>
      </w:r>
    </w:p>
    <w:p w14:paraId="339B2FD8" w14:textId="0DA737AF" w:rsidR="00974803" w:rsidRDefault="00974803" w:rsidP="00D01FD2">
      <w:pPr>
        <w:jc w:val="center"/>
      </w:pPr>
      <w:r>
        <w:rPr>
          <w:noProof/>
        </w:rPr>
        <w:drawing>
          <wp:inline distT="0" distB="0" distL="0" distR="0" wp14:anchorId="5F487B39" wp14:editId="25161FE5">
            <wp:extent cx="952500" cy="2088598"/>
            <wp:effectExtent l="0" t="0" r="0" b="6985"/>
            <wp:docPr id="1523464554" name="Picture 1" descr="Example TapeStation gel image of RNA-seq libr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64554" name="Picture 1" descr="Example TapeStation gel image of RNA-seq libraries"/>
                    <pic:cNvPicPr/>
                  </pic:nvPicPr>
                  <pic:blipFill rotWithShape="1">
                    <a:blip r:embed="rId7"/>
                    <a:srcRect r="31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15" cy="2104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0FE966" wp14:editId="343734FD">
            <wp:extent cx="4945769" cy="2171700"/>
            <wp:effectExtent l="0" t="0" r="7620" b="0"/>
            <wp:docPr id="1051070205" name="Picture 1" descr="Example TapeStation size distribution image of ATAC-seq libr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70205" name="Picture 1" descr="Example TapeStation size distribution image of ATAC-seq librarie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3948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5120A" w14:textId="77777777" w:rsidR="005E2024" w:rsidRDefault="005E2024" w:rsidP="005E2024">
      <w:pPr>
        <w:pStyle w:val="ListParagraph"/>
        <w:numPr>
          <w:ilvl w:val="0"/>
          <w:numId w:val="2"/>
        </w:numPr>
        <w:jc w:val="both"/>
      </w:pPr>
      <w:r>
        <w:t>Quantify each library.</w:t>
      </w:r>
    </w:p>
    <w:p w14:paraId="6BDCFF50" w14:textId="77777777" w:rsidR="005E2024" w:rsidRDefault="005E2024" w:rsidP="005E2024">
      <w:pPr>
        <w:pStyle w:val="ListParagraph"/>
        <w:jc w:val="both"/>
      </w:pPr>
      <w:r>
        <w:t xml:space="preserve">Measure the concentration of each library using </w:t>
      </w:r>
      <w:r w:rsidRPr="005E2024">
        <w:rPr>
          <w:b/>
          <w:bCs/>
        </w:rPr>
        <w:t>Qubit</w:t>
      </w:r>
      <w:r>
        <w:t xml:space="preserve"> (dsDNA HS assay recommended). Record the concentration in the QC form under: </w:t>
      </w:r>
      <w:r w:rsidRPr="005E2024">
        <w:rPr>
          <w:b/>
          <w:bCs/>
        </w:rPr>
        <w:t>“Qubit Conc. (ng/µL)”</w:t>
      </w:r>
      <w:r>
        <w:t>. The QC form will automatically calculate the corresponding molar concentration (nM) based on the library size.</w:t>
      </w:r>
    </w:p>
    <w:p w14:paraId="4E5C7F96" w14:textId="77777777" w:rsidR="00445056" w:rsidRDefault="005E2024" w:rsidP="005E2024">
      <w:pPr>
        <w:pStyle w:val="ListParagraph"/>
        <w:numPr>
          <w:ilvl w:val="0"/>
          <w:numId w:val="2"/>
        </w:numPr>
        <w:jc w:val="both"/>
      </w:pPr>
      <w:r>
        <w:t>Dilute each library to the target molarity</w:t>
      </w:r>
      <w:r w:rsidR="00445056">
        <w:t>.</w:t>
      </w:r>
    </w:p>
    <w:p w14:paraId="1819045B" w14:textId="77777777" w:rsidR="00445056" w:rsidRDefault="005E2024" w:rsidP="00445056">
      <w:pPr>
        <w:pStyle w:val="ListParagraph"/>
        <w:jc w:val="both"/>
      </w:pPr>
      <w:r>
        <w:t>Using the calculations provided in the QC form, dilute each library to:</w:t>
      </w:r>
      <w:r w:rsidR="00445056">
        <w:t xml:space="preserve"> </w:t>
      </w:r>
      <w:r w:rsidRPr="00445056">
        <w:rPr>
          <w:b/>
          <w:bCs/>
        </w:rPr>
        <w:t>10 nM (recommended)</w:t>
      </w:r>
      <w:r>
        <w:t>, or</w:t>
      </w:r>
      <w:r w:rsidR="00445056">
        <w:t xml:space="preserve"> </w:t>
      </w:r>
      <w:r w:rsidRPr="00445056">
        <w:rPr>
          <w:b/>
          <w:bCs/>
        </w:rPr>
        <w:t>4 nM (for low-concentration libraries)</w:t>
      </w:r>
      <w:r w:rsidR="00445056">
        <w:t xml:space="preserve">. </w:t>
      </w:r>
      <w:r>
        <w:t xml:space="preserve">The QC form will </w:t>
      </w:r>
      <w:r w:rsidR="00445056">
        <w:t xml:space="preserve">automatically generate </w:t>
      </w:r>
      <w:r>
        <w:t>the dilution instructions.</w:t>
      </w:r>
    </w:p>
    <w:p w14:paraId="1B41A5DE" w14:textId="77777777" w:rsidR="00445056" w:rsidRDefault="005E2024" w:rsidP="005E2024">
      <w:pPr>
        <w:pStyle w:val="ListParagraph"/>
        <w:numPr>
          <w:ilvl w:val="0"/>
          <w:numId w:val="2"/>
        </w:numPr>
        <w:jc w:val="both"/>
      </w:pPr>
      <w:r>
        <w:t xml:space="preserve">Verify </w:t>
      </w:r>
      <w:r w:rsidR="00445056">
        <w:t>the concentration</w:t>
      </w:r>
      <w:r>
        <w:t xml:space="preserve"> of the diluted library</w:t>
      </w:r>
      <w:r w:rsidR="00445056">
        <w:t xml:space="preserve">. </w:t>
      </w:r>
      <w:r>
        <w:t>Measure the concentration of the diluted library using Qubit and record the result in the QC form.</w:t>
      </w:r>
      <w:r w:rsidR="00445056">
        <w:t xml:space="preserve"> </w:t>
      </w:r>
      <w:r>
        <w:t xml:space="preserve">The measured concentration should be close to the target (typically within </w:t>
      </w:r>
      <w:r w:rsidRPr="00445056">
        <w:rPr>
          <w:b/>
          <w:bCs/>
        </w:rPr>
        <w:t>±10%</w:t>
      </w:r>
      <w:r>
        <w:t>).</w:t>
      </w:r>
      <w:r w:rsidR="00445056">
        <w:t xml:space="preserve"> </w:t>
      </w:r>
      <w:r>
        <w:t>If the measured concentration is substantially higher or lower than expected, repeat Steps 2–3 to ensure accurate quantification and dilution.</w:t>
      </w:r>
    </w:p>
    <w:p w14:paraId="405E0CFF" w14:textId="77777777" w:rsidR="00445056" w:rsidRDefault="005E2024" w:rsidP="005E2024">
      <w:pPr>
        <w:pStyle w:val="ListParagraph"/>
        <w:numPr>
          <w:ilvl w:val="0"/>
          <w:numId w:val="2"/>
        </w:numPr>
        <w:jc w:val="both"/>
      </w:pPr>
      <w:r>
        <w:t>Pool normalized libraries</w:t>
      </w:r>
      <w:r w:rsidR="00445056">
        <w:t>.</w:t>
      </w:r>
    </w:p>
    <w:p w14:paraId="26C62C6E" w14:textId="77777777" w:rsidR="00445056" w:rsidRDefault="005E2024" w:rsidP="00445056">
      <w:pPr>
        <w:pStyle w:val="ListParagraph"/>
        <w:jc w:val="both"/>
      </w:pPr>
      <w:r>
        <w:t>Combine the diluted libraries into a single tube by pipetting</w:t>
      </w:r>
      <w:r w:rsidR="00445056">
        <w:t xml:space="preserve"> </w:t>
      </w:r>
      <w:r w:rsidRPr="00445056">
        <w:rPr>
          <w:b/>
          <w:bCs/>
        </w:rPr>
        <w:t>5 µL of each diluted library</w:t>
      </w:r>
      <w:r>
        <w:t xml:space="preserve"> into the pool</w:t>
      </w:r>
      <w:r w:rsidR="00445056">
        <w:t xml:space="preserve">. </w:t>
      </w:r>
      <w:r>
        <w:t>This creates an equal-volume pool from normalized libraries (assuming each library has been successfully diluted to the same target molarity).</w:t>
      </w:r>
    </w:p>
    <w:p w14:paraId="3494167F" w14:textId="77777777" w:rsidR="00445056" w:rsidRDefault="005E2024" w:rsidP="005E2024">
      <w:pPr>
        <w:pStyle w:val="ListParagraph"/>
        <w:numPr>
          <w:ilvl w:val="0"/>
          <w:numId w:val="2"/>
        </w:numPr>
        <w:jc w:val="both"/>
      </w:pPr>
      <w:r>
        <w:t>Quantify the pooled library</w:t>
      </w:r>
      <w:r w:rsidR="00445056">
        <w:t xml:space="preserve">. </w:t>
      </w:r>
    </w:p>
    <w:p w14:paraId="002679F0" w14:textId="77777777" w:rsidR="00445056" w:rsidRDefault="005E2024" w:rsidP="00445056">
      <w:pPr>
        <w:pStyle w:val="ListParagraph"/>
        <w:jc w:val="both"/>
      </w:pPr>
      <w:r>
        <w:t xml:space="preserve">Measure the concentration of the pooled library </w:t>
      </w:r>
      <w:r w:rsidR="00445056">
        <w:t>using</w:t>
      </w:r>
      <w:r>
        <w:t xml:space="preserve"> Qubit.</w:t>
      </w:r>
      <w:r w:rsidR="00445056">
        <w:t xml:space="preserve"> </w:t>
      </w:r>
      <w:r>
        <w:t>The pooled concentration should be close to your target (10 nM or 4 nM, depending on what you used).</w:t>
      </w:r>
      <w:r w:rsidR="00445056">
        <w:t xml:space="preserve"> </w:t>
      </w:r>
      <w:r>
        <w:t>Record the pooled concentration in the QC form.</w:t>
      </w:r>
    </w:p>
    <w:p w14:paraId="747CA598" w14:textId="77777777" w:rsidR="00445056" w:rsidRDefault="005E2024" w:rsidP="005E2024">
      <w:pPr>
        <w:pStyle w:val="ListParagraph"/>
        <w:numPr>
          <w:ilvl w:val="0"/>
          <w:numId w:val="2"/>
        </w:numPr>
        <w:jc w:val="both"/>
      </w:pPr>
      <w:r>
        <w:t>Submit QC documentation</w:t>
      </w:r>
      <w:r w:rsidR="00445056">
        <w:t>.</w:t>
      </w:r>
    </w:p>
    <w:p w14:paraId="32FE6F16" w14:textId="74AEE463" w:rsidR="005E2024" w:rsidRDefault="005E2024" w:rsidP="00445056">
      <w:pPr>
        <w:pStyle w:val="ListParagraph"/>
        <w:jc w:val="both"/>
      </w:pPr>
      <w:r>
        <w:t>Complete the QC form and upload it to the PPMS ordering page with your submission.</w:t>
      </w:r>
    </w:p>
    <w:p w14:paraId="6B45591E" w14:textId="77777777" w:rsidR="00445056" w:rsidRDefault="00445056" w:rsidP="00445056">
      <w:pPr>
        <w:jc w:val="both"/>
      </w:pPr>
    </w:p>
    <w:p w14:paraId="4A9BCD9D" w14:textId="4976BD34" w:rsidR="00445056" w:rsidRDefault="00445056" w:rsidP="00445056">
      <w:pPr>
        <w:pStyle w:val="Heading2"/>
      </w:pPr>
      <w:r>
        <w:t>Need Help?</w:t>
      </w:r>
    </w:p>
    <w:p w14:paraId="562BE629" w14:textId="77777777" w:rsidR="00445056" w:rsidRDefault="00445056" w:rsidP="00445056">
      <w:pPr>
        <w:jc w:val="both"/>
      </w:pPr>
      <w:r>
        <w:t>If you have any questions or encounter issues during QC or dilution, please contact:</w:t>
      </w:r>
    </w:p>
    <w:p w14:paraId="7158D3D1" w14:textId="54AF9016" w:rsidR="00445056" w:rsidRDefault="00445056" w:rsidP="00445056">
      <w:pPr>
        <w:pStyle w:val="ListParagraph"/>
        <w:numPr>
          <w:ilvl w:val="0"/>
          <w:numId w:val="3"/>
        </w:numPr>
        <w:jc w:val="both"/>
      </w:pPr>
      <w:r>
        <w:t>Sequencing Core Manager: Dr. Yoon Jung Kim, YoonJung.Kim@UTSouthwestern.edu</w:t>
      </w:r>
    </w:p>
    <w:p w14:paraId="13BBDDC6" w14:textId="1C203D5F" w:rsidR="00445056" w:rsidRDefault="00445056" w:rsidP="00445056">
      <w:pPr>
        <w:pStyle w:val="ListParagraph"/>
        <w:numPr>
          <w:ilvl w:val="0"/>
          <w:numId w:val="3"/>
        </w:numPr>
        <w:jc w:val="both"/>
      </w:pPr>
      <w:r>
        <w:t>Sequencing Core Director: Dr. Sihan Wu, Sihan.Wu@UTSouthwestern.edu</w:t>
      </w:r>
    </w:p>
    <w:p w14:paraId="0840550E" w14:textId="77777777" w:rsidR="005E2024" w:rsidRDefault="005E2024" w:rsidP="005E2024">
      <w:pPr>
        <w:jc w:val="both"/>
      </w:pPr>
    </w:p>
    <w:p w14:paraId="113B1647" w14:textId="40DD8D2D" w:rsidR="00445056" w:rsidRDefault="00445056" w:rsidP="00445056">
      <w:pPr>
        <w:pStyle w:val="Heading2"/>
      </w:pPr>
      <w:r>
        <w:t>Instrument Access</w:t>
      </w:r>
    </w:p>
    <w:p w14:paraId="22D250A0" w14:textId="6FB6431A" w:rsidR="00445056" w:rsidRDefault="00445056" w:rsidP="00445056">
      <w:pPr>
        <w:jc w:val="both"/>
      </w:pPr>
      <w:r>
        <w:t>The CRI Sequencing Core Facility provides no-cost access to the following instruments for clients:</w:t>
      </w:r>
    </w:p>
    <w:p w14:paraId="796BD1C1" w14:textId="77777777" w:rsidR="00445056" w:rsidRDefault="00445056" w:rsidP="00445056">
      <w:pPr>
        <w:jc w:val="both"/>
      </w:pPr>
    </w:p>
    <w:p w14:paraId="385ACBD4" w14:textId="77777777" w:rsidR="00445056" w:rsidRDefault="00445056" w:rsidP="00445056">
      <w:pPr>
        <w:pStyle w:val="ListParagraph"/>
        <w:numPr>
          <w:ilvl w:val="0"/>
          <w:numId w:val="4"/>
        </w:numPr>
        <w:jc w:val="both"/>
      </w:pPr>
      <w:r>
        <w:lastRenderedPageBreak/>
        <w:t>Agilent TapeStation 4150</w:t>
      </w:r>
    </w:p>
    <w:p w14:paraId="0E4A6174" w14:textId="77777777" w:rsidR="00445056" w:rsidRDefault="00445056" w:rsidP="00445056">
      <w:pPr>
        <w:pStyle w:val="ListParagraph"/>
        <w:numPr>
          <w:ilvl w:val="0"/>
          <w:numId w:val="4"/>
        </w:numPr>
        <w:jc w:val="both"/>
      </w:pPr>
      <w:r>
        <w:t>Qubit 3 Fluorometer</w:t>
      </w:r>
    </w:p>
    <w:p w14:paraId="39980CBB" w14:textId="500E3986" w:rsidR="00D01FD2" w:rsidRDefault="00EA1C3D" w:rsidP="00445056">
      <w:pPr>
        <w:pStyle w:val="ListParagraph"/>
        <w:numPr>
          <w:ilvl w:val="0"/>
          <w:numId w:val="4"/>
        </w:numPr>
        <w:jc w:val="both"/>
      </w:pPr>
      <w:r>
        <w:t>To use o</w:t>
      </w:r>
      <w:r w:rsidR="00D01FD2">
        <w:t>ther instruments</w:t>
      </w:r>
      <w:r>
        <w:t xml:space="preserve">, including 10X Genomics Chromium X, Covaris ME220, and BioRad CFX384, please visit NL12.110C. </w:t>
      </w:r>
    </w:p>
    <w:p w14:paraId="701BC793" w14:textId="77777777" w:rsidR="00445056" w:rsidRDefault="00445056" w:rsidP="00445056">
      <w:pPr>
        <w:jc w:val="both"/>
      </w:pPr>
      <w:r w:rsidRPr="00445056">
        <w:rPr>
          <w:b/>
          <w:bCs/>
        </w:rPr>
        <w:t>Clients must bring their own reagents and consumables</w:t>
      </w:r>
      <w:r>
        <w:t xml:space="preserve"> for library QC prior to sample submission.</w:t>
      </w:r>
    </w:p>
    <w:p w14:paraId="74C4329B" w14:textId="77777777" w:rsidR="00445056" w:rsidRDefault="00445056" w:rsidP="00445056">
      <w:pPr>
        <w:jc w:val="both"/>
      </w:pPr>
    </w:p>
    <w:p w14:paraId="25D66D34" w14:textId="77777777" w:rsidR="00445056" w:rsidRDefault="00445056" w:rsidP="00445056">
      <w:pPr>
        <w:pStyle w:val="Heading2"/>
      </w:pPr>
      <w:r>
        <w:t>Reagents and Consumables (Catalog Numbers)</w:t>
      </w:r>
    </w:p>
    <w:p w14:paraId="2E283856" w14:textId="0EDCA4C6" w:rsidR="00445056" w:rsidRDefault="00445056" w:rsidP="00445056">
      <w:pPr>
        <w:jc w:val="both"/>
      </w:pPr>
      <w:r>
        <w:t xml:space="preserve">TapeStation </w:t>
      </w:r>
      <w:r w:rsidR="00EA1C3D">
        <w:t>4150</w:t>
      </w:r>
    </w:p>
    <w:p w14:paraId="7AB74B91" w14:textId="77777777" w:rsidR="00445056" w:rsidRDefault="00445056" w:rsidP="00445056">
      <w:pPr>
        <w:pStyle w:val="ListParagraph"/>
        <w:numPr>
          <w:ilvl w:val="0"/>
          <w:numId w:val="5"/>
        </w:numPr>
        <w:jc w:val="both"/>
      </w:pPr>
      <w:r>
        <w:t>Agilent D1000 ScreenTape: 5067-5582</w:t>
      </w:r>
    </w:p>
    <w:p w14:paraId="64DAF9A7" w14:textId="77777777" w:rsidR="00445056" w:rsidRDefault="00445056" w:rsidP="00445056">
      <w:pPr>
        <w:pStyle w:val="ListParagraph"/>
        <w:numPr>
          <w:ilvl w:val="0"/>
          <w:numId w:val="5"/>
        </w:numPr>
        <w:jc w:val="both"/>
      </w:pPr>
      <w:r>
        <w:t>Agilent D1000 Reagents (includes ladder and sample buffer): 5067-5583</w:t>
      </w:r>
    </w:p>
    <w:p w14:paraId="39499DDD" w14:textId="61C23434" w:rsidR="00445056" w:rsidRDefault="00445056" w:rsidP="00445056">
      <w:pPr>
        <w:jc w:val="both"/>
      </w:pPr>
      <w:r>
        <w:t>Qubit</w:t>
      </w:r>
      <w:r w:rsidR="00EA1C3D">
        <w:t xml:space="preserve"> 3</w:t>
      </w:r>
    </w:p>
    <w:p w14:paraId="42615048" w14:textId="77777777" w:rsidR="00445056" w:rsidRDefault="00445056" w:rsidP="00445056">
      <w:pPr>
        <w:pStyle w:val="ListParagraph"/>
        <w:numPr>
          <w:ilvl w:val="0"/>
          <w:numId w:val="6"/>
        </w:numPr>
        <w:jc w:val="both"/>
      </w:pPr>
      <w:r>
        <w:t>Invitrogen Qubit dsDNA HS Assay Kit: Q32851 or Q32854</w:t>
      </w:r>
    </w:p>
    <w:p w14:paraId="1F877B1B" w14:textId="2A51BD96" w:rsidR="00445056" w:rsidRDefault="00445056" w:rsidP="00445056">
      <w:pPr>
        <w:pStyle w:val="ListParagraph"/>
        <w:numPr>
          <w:ilvl w:val="0"/>
          <w:numId w:val="6"/>
        </w:numPr>
        <w:jc w:val="both"/>
      </w:pPr>
      <w:r>
        <w:t>Invitrogen Qubit Assay Tubes: Q32856</w:t>
      </w:r>
    </w:p>
    <w:p w14:paraId="5CDC24E5" w14:textId="77777777" w:rsidR="00445056" w:rsidRDefault="00445056" w:rsidP="005E2024">
      <w:pPr>
        <w:jc w:val="both"/>
      </w:pPr>
    </w:p>
    <w:sectPr w:rsidR="00445056" w:rsidSect="005E20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D9A"/>
    <w:multiLevelType w:val="hybridMultilevel"/>
    <w:tmpl w:val="AC50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6D6"/>
    <w:multiLevelType w:val="hybridMultilevel"/>
    <w:tmpl w:val="185E0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7CB8"/>
    <w:multiLevelType w:val="hybridMultilevel"/>
    <w:tmpl w:val="DCE0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4401"/>
    <w:multiLevelType w:val="hybridMultilevel"/>
    <w:tmpl w:val="3710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410B9"/>
    <w:multiLevelType w:val="hybridMultilevel"/>
    <w:tmpl w:val="4CB40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35100"/>
    <w:multiLevelType w:val="hybridMultilevel"/>
    <w:tmpl w:val="6E4A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49927">
    <w:abstractNumId w:val="1"/>
  </w:num>
  <w:num w:numId="2" w16cid:durableId="1618832336">
    <w:abstractNumId w:val="4"/>
  </w:num>
  <w:num w:numId="3" w16cid:durableId="319385234">
    <w:abstractNumId w:val="2"/>
  </w:num>
  <w:num w:numId="4" w16cid:durableId="514927638">
    <w:abstractNumId w:val="0"/>
  </w:num>
  <w:num w:numId="5" w16cid:durableId="856698664">
    <w:abstractNumId w:val="3"/>
  </w:num>
  <w:num w:numId="6" w16cid:durableId="809859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7C"/>
    <w:rsid w:val="00067E9B"/>
    <w:rsid w:val="001A3312"/>
    <w:rsid w:val="002A1D40"/>
    <w:rsid w:val="002D537C"/>
    <w:rsid w:val="00445056"/>
    <w:rsid w:val="005E2024"/>
    <w:rsid w:val="00974803"/>
    <w:rsid w:val="009A5714"/>
    <w:rsid w:val="00AE6011"/>
    <w:rsid w:val="00D01FD2"/>
    <w:rsid w:val="00E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ACEC"/>
  <w15:chartTrackingRefBased/>
  <w15:docId w15:val="{975EBDF7-4AF9-4AB6-89C7-45C387B8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2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02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2024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024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37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74803"/>
    <w:rPr>
      <w:b/>
      <w:bCs/>
    </w:rPr>
  </w:style>
  <w:style w:type="character" w:styleId="Hyperlink">
    <w:name w:val="Hyperlink"/>
    <w:basedOn w:val="DefaultParagraphFont"/>
    <w:uiPriority w:val="99"/>
    <w:unhideWhenUsed/>
    <w:rsid w:val="002A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D4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5E2024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Sihan Wu</dc:creator>
  <cp:keywords/>
  <dc:description/>
  <cp:lastModifiedBy>Cristen Hixson</cp:lastModifiedBy>
  <cp:revision>2</cp:revision>
  <dcterms:created xsi:type="dcterms:W3CDTF">2026-04-23T18:41:00Z</dcterms:created>
  <dcterms:modified xsi:type="dcterms:W3CDTF">2026-04-23T18:41:00Z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fc2512b2-7bbe-4273-8cca-0e40c7eb085f</vt:lpwstr>
  </property>
</Properties>
</file>